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E7" w:rsidRDefault="00E047EB">
      <w:pPr>
        <w:pStyle w:val="a3"/>
        <w:rPr>
          <w:rFonts w:ascii="Times New Roman"/>
          <w:b w:val="0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172845</wp:posOffset>
            </wp:positionH>
            <wp:positionV relativeFrom="page">
              <wp:posOffset>0</wp:posOffset>
            </wp:positionV>
            <wp:extent cx="7214310" cy="9955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310" cy="995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rPr>
          <w:rFonts w:ascii="Times New Roman"/>
          <w:b w:val="0"/>
        </w:rPr>
      </w:pPr>
    </w:p>
    <w:p w:rsidR="00D24DE7" w:rsidRDefault="00D24DE7">
      <w:pPr>
        <w:pStyle w:val="a3"/>
        <w:spacing w:before="191"/>
        <w:rPr>
          <w:rFonts w:ascii="Times New Roman"/>
          <w:b w:val="0"/>
          <w:lang w:val="ru-RU"/>
        </w:rPr>
      </w:pPr>
    </w:p>
    <w:p w:rsidR="00E047EB" w:rsidRDefault="00E047EB">
      <w:pPr>
        <w:pStyle w:val="a3"/>
        <w:spacing w:before="191"/>
        <w:rPr>
          <w:rFonts w:ascii="Times New Roman"/>
          <w:b w:val="0"/>
          <w:lang w:val="ru-RU"/>
        </w:rPr>
      </w:pP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  <w:bookmarkStart w:id="0" w:name="block-11620382"/>
      <w:r w:rsidRPr="00A171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искусственных экосистем.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E047EB" w:rsidRPr="00A17130" w:rsidRDefault="00E047EB" w:rsidP="00E047EB">
      <w:pPr>
        <w:rPr>
          <w:lang w:val="ru-RU"/>
        </w:rPr>
        <w:sectPr w:rsidR="00E047EB" w:rsidRPr="00A17130" w:rsidSect="00E047E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  <w:bookmarkStart w:id="1" w:name="block-11620386"/>
      <w:bookmarkEnd w:id="0"/>
      <w:r w:rsidRPr="00A171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047EB" w:rsidRPr="00E047EB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047EB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E047EB" w:rsidRPr="00E047EB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Ферменты – биологические катализаторы. Строение фермента: активный центр, субстратная специфичность. </w:t>
      </w:r>
      <w:r w:rsidRPr="00E047EB">
        <w:rPr>
          <w:rFonts w:ascii="Times New Roman" w:hAnsi="Times New Roman"/>
          <w:color w:val="000000"/>
          <w:sz w:val="28"/>
          <w:lang w:val="ru-RU"/>
        </w:rPr>
        <w:t xml:space="preserve">Коферменты. Витамины. </w:t>
      </w:r>
      <w:r w:rsidRPr="00E047EB">
        <w:rPr>
          <w:rFonts w:ascii="Times New Roman" w:hAnsi="Times New Roman"/>
          <w:color w:val="000000"/>
          <w:sz w:val="28"/>
          <w:lang w:val="ru-RU"/>
        </w:rPr>
        <w:lastRenderedPageBreak/>
        <w:t>Отличия ферментов от неорганических катализаторов.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. Уотсон, Ф. Крик, М.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клетки»,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«Строение ядра клетки», «Углеводы», «Липиды».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E047EB">
        <w:rPr>
          <w:rFonts w:ascii="Times New Roman" w:hAnsi="Times New Roman"/>
          <w:color w:val="000000"/>
          <w:sz w:val="28"/>
          <w:lang w:val="ru-RU"/>
        </w:rPr>
        <w:t xml:space="preserve">Хемосинтез. Хемосинтезирующие бактерии. </w:t>
      </w:r>
      <w:r w:rsidRPr="00A17130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</w:t>
      </w:r>
      <w:r w:rsidRPr="00E047EB">
        <w:rPr>
          <w:rFonts w:ascii="Times New Roman" w:hAnsi="Times New Roman"/>
          <w:color w:val="000000"/>
          <w:sz w:val="28"/>
          <w:lang w:val="ru-RU"/>
        </w:rPr>
        <w:t xml:space="preserve">Этапы энергетического обмена. Гликолиз. Брожение и его виды. 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Кислородное окисление, или клеточное дыхание. Окислительное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B6F32">
        <w:rPr>
          <w:rFonts w:ascii="Times New Roman" w:hAnsi="Times New Roman"/>
          <w:color w:val="000000"/>
          <w:sz w:val="28"/>
          <w:lang w:val="ru-RU"/>
        </w:rPr>
        <w:t xml:space="preserve">Обратная транскрипция, ревертаза и </w:t>
      </w:r>
      <w:proofErr w:type="spellStart"/>
      <w:r w:rsidRPr="007B6F32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7B6F3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17130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бактериофага», «Репликация ДНК».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E047EB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</w:t>
      </w:r>
      <w:r w:rsidRPr="00A17130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Биологический смысл и значение мейоза.</w:t>
      </w:r>
    </w:p>
    <w:p w:rsidR="00E047EB" w:rsidRPr="00E047EB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 w:rsidRPr="00E047EB">
        <w:rPr>
          <w:rFonts w:ascii="Times New Roman" w:hAnsi="Times New Roman"/>
          <w:color w:val="000000"/>
          <w:sz w:val="28"/>
          <w:lang w:val="ru-RU"/>
        </w:rPr>
        <w:t>Особенности строения яйцеклеток и сперматозоидов. Оплодотворение. Партеногенез.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Рост и развитие растений. Онтогенез цветкового растения: строение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семени, стадии развития.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Хромосомное определение пола.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среды в ненаследственной изменчивости. Характеристика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 w:rsidRPr="00E047EB">
        <w:rPr>
          <w:rFonts w:ascii="Times New Roman" w:hAnsi="Times New Roman"/>
          <w:color w:val="000000"/>
          <w:sz w:val="28"/>
          <w:lang w:val="ru-RU"/>
        </w:rPr>
        <w:t xml:space="preserve">ПЦР-анализа. </w:t>
      </w:r>
      <w:r w:rsidRPr="00A17130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Лабораторная работа № 6. «Изучение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Макроэволюция. Формы эволюции: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филетическая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дивергентная, конвергентная, параллельная. Необратимость эволюции.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 xml:space="preserve"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эволюции. Гипотеза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РНК-мира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. Формирование мембранных структур и возникновение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эры.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и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различия человека и животных. Систематическое положение человека.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камни-чопперы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Экскурсия «Эволюция органического мира на Земле» (в </w:t>
      </w:r>
      <w:proofErr w:type="spellStart"/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spellEnd"/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абиотические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Действие экологических факторов на организмы.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Биологическое и хозяйственное значение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Биоразнообразие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как фактор устойчивости экосистем. Сохранение биологического разнообразия на Земле.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Сосуществование природы и человечества. Сохранение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E047EB" w:rsidRPr="00A17130" w:rsidRDefault="00E047EB" w:rsidP="00E047EB">
      <w:pPr>
        <w:rPr>
          <w:lang w:val="ru-RU"/>
        </w:rPr>
        <w:sectPr w:rsidR="00E047EB" w:rsidRPr="00A17130">
          <w:pgSz w:w="11906" w:h="16383"/>
          <w:pgMar w:top="1134" w:right="850" w:bottom="1134" w:left="1701" w:header="720" w:footer="720" w:gutter="0"/>
          <w:cols w:space="720"/>
        </w:sectPr>
      </w:pP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  <w:bookmarkStart w:id="2" w:name="block-11620387"/>
      <w:bookmarkEnd w:id="1"/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среде, умение прогнозировать неблагоприятные экологические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последствия предпринимаемых действий и предотвращать их;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непрерывному образованию и самообразованию, к активному получению новых знаний по биологии в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соответствии с жизненными потребностями.</w:t>
      </w:r>
    </w:p>
    <w:p w:rsidR="00E047EB" w:rsidRPr="00A17130" w:rsidRDefault="00E047EB" w:rsidP="00E047EB">
      <w:pPr>
        <w:ind w:left="120"/>
        <w:rPr>
          <w:lang w:val="ru-RU"/>
        </w:rPr>
      </w:pPr>
    </w:p>
    <w:p w:rsidR="00E047EB" w:rsidRPr="00A17130" w:rsidRDefault="00E047EB" w:rsidP="00E047EB">
      <w:pPr>
        <w:ind w:left="120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47EB" w:rsidRPr="00A17130" w:rsidRDefault="00E047EB" w:rsidP="00E047EB">
      <w:pPr>
        <w:ind w:left="120"/>
        <w:rPr>
          <w:lang w:val="ru-RU"/>
        </w:rPr>
      </w:pP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имеющихся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материальных и нематериальных ресурсов;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E047EB" w:rsidRPr="00A17130" w:rsidRDefault="00E047EB" w:rsidP="00E047EB">
      <w:pPr>
        <w:spacing w:line="264" w:lineRule="auto"/>
        <w:ind w:left="12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отборе биологической информации, необходимой для выполнения учебных задач;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>);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совместной работы;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13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принимать себя, понимая свои недостатки и достоинства;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047EB" w:rsidRPr="00A17130" w:rsidRDefault="00E047EB" w:rsidP="00E047EB">
      <w:pPr>
        <w:ind w:left="120"/>
        <w:rPr>
          <w:lang w:val="ru-RU"/>
        </w:rPr>
      </w:pPr>
    </w:p>
    <w:p w:rsidR="00E047EB" w:rsidRPr="00A17130" w:rsidRDefault="00E047EB" w:rsidP="00E047EB">
      <w:pPr>
        <w:ind w:left="120"/>
        <w:rPr>
          <w:lang w:val="ru-RU"/>
        </w:rPr>
      </w:pPr>
      <w:bookmarkStart w:id="3" w:name="_Toc138318760"/>
      <w:bookmarkStart w:id="4" w:name="_Toc134720971"/>
      <w:bookmarkEnd w:id="3"/>
      <w:bookmarkEnd w:id="4"/>
      <w:r w:rsidRPr="00A171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47EB" w:rsidRPr="00A17130" w:rsidRDefault="00E047EB" w:rsidP="00E047EB">
      <w:pPr>
        <w:ind w:left="120"/>
        <w:rPr>
          <w:lang w:val="ru-RU"/>
        </w:rPr>
      </w:pP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A1713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>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A1713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1713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proofErr w:type="gramStart"/>
      <w:r w:rsidRPr="00A17130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</w:t>
      </w:r>
      <w:r w:rsidRPr="00A17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(зародышевого сходства К. М. Бэра, чередования главных направлений и путей эволюции А. Н.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7130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A17130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E047EB" w:rsidRPr="00A17130" w:rsidRDefault="00E047EB" w:rsidP="00E047EB">
      <w:pPr>
        <w:spacing w:line="264" w:lineRule="auto"/>
        <w:ind w:firstLine="600"/>
        <w:jc w:val="both"/>
        <w:rPr>
          <w:lang w:val="ru-RU"/>
        </w:rPr>
      </w:pPr>
      <w:r w:rsidRPr="00A17130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E047EB" w:rsidRPr="00A17130" w:rsidRDefault="00E047EB" w:rsidP="00E047EB">
      <w:pPr>
        <w:rPr>
          <w:lang w:val="ru-RU"/>
        </w:rPr>
        <w:sectPr w:rsidR="00E047EB" w:rsidRPr="00A17130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E047EB" w:rsidRDefault="00E047EB" w:rsidP="00E047EB">
      <w:pPr>
        <w:ind w:left="120"/>
      </w:pPr>
      <w:r w:rsidRPr="00A171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47EB" w:rsidRDefault="00E047EB" w:rsidP="00E047EB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E047EB" w:rsidTr="00B62B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</w:tr>
      <w:tr w:rsidR="00E047EB" w:rsidTr="00B6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7EB" w:rsidRDefault="00E047EB" w:rsidP="00B6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7EB" w:rsidRDefault="00E047EB" w:rsidP="00B62B1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7EB" w:rsidRDefault="00E047EB" w:rsidP="00B62B19"/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047EB" w:rsidTr="00B6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/>
        </w:tc>
      </w:tr>
    </w:tbl>
    <w:p w:rsidR="00E047EB" w:rsidRDefault="00E047EB" w:rsidP="00E047EB">
      <w:pPr>
        <w:sectPr w:rsidR="00E04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7EB" w:rsidRDefault="00E047EB" w:rsidP="00E047EB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E047EB" w:rsidTr="00B62B1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</w:tr>
      <w:tr w:rsidR="00E047EB" w:rsidTr="00B6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7EB" w:rsidRDefault="00E047EB" w:rsidP="00B6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7EB" w:rsidRDefault="00E047EB" w:rsidP="00B62B1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7EB" w:rsidRDefault="00E047EB" w:rsidP="00B62B1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7EB" w:rsidRDefault="00E047EB" w:rsidP="00B62B19"/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47EB" w:rsidRPr="00E047EB" w:rsidTr="00B62B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47EB" w:rsidTr="00B6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7EB" w:rsidRPr="00A17130" w:rsidRDefault="00E047EB" w:rsidP="00B62B19">
            <w:pPr>
              <w:ind w:left="135"/>
              <w:rPr>
                <w:lang w:val="ru-RU"/>
              </w:rPr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 w:rsidRPr="00A17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047EB" w:rsidRDefault="00E047EB" w:rsidP="00B62B19"/>
        </w:tc>
      </w:tr>
    </w:tbl>
    <w:p w:rsidR="00E047EB" w:rsidRDefault="00E047EB" w:rsidP="00E047EB">
      <w:pPr>
        <w:sectPr w:rsidR="00E04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7EB" w:rsidRPr="00E047EB" w:rsidRDefault="00E047EB">
      <w:pPr>
        <w:pStyle w:val="a3"/>
        <w:spacing w:before="191"/>
        <w:rPr>
          <w:rFonts w:ascii="Times New Roman"/>
          <w:b w:val="0"/>
          <w:lang w:val="ru-RU"/>
        </w:rPr>
      </w:pPr>
    </w:p>
    <w:p w:rsidR="00D24DE7" w:rsidRDefault="00E047EB">
      <w:pPr>
        <w:pStyle w:val="a3"/>
        <w:ind w:right="117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6158809</wp:posOffset>
            </wp:positionH>
            <wp:positionV relativeFrom="paragraph">
              <wp:posOffset>-63378</wp:posOffset>
            </wp:positionV>
            <wp:extent cx="304800" cy="304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9BA9C5"/>
          <w:spacing w:val="-2"/>
        </w:rPr>
        <w:t>AnyScanner</w:t>
      </w:r>
      <w:proofErr w:type="spellEnd"/>
    </w:p>
    <w:sectPr w:rsidR="00D24DE7" w:rsidSect="00D24DE7">
      <w:type w:val="continuous"/>
      <w:pgSz w:w="11910" w:h="16840"/>
      <w:pgMar w:top="1920" w:right="360" w:bottom="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4DE7"/>
    <w:rsid w:val="00D24DE7"/>
    <w:rsid w:val="00E0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DE7"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4DE7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D24DE7"/>
  </w:style>
  <w:style w:type="paragraph" w:customStyle="1" w:styleId="TableParagraph">
    <w:name w:val="Table Paragraph"/>
    <w:basedOn w:val="a"/>
    <w:uiPriority w:val="1"/>
    <w:qFormat/>
    <w:rsid w:val="00D24D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8639</Words>
  <Characters>49245</Characters>
  <Application>Microsoft Office Word</Application>
  <DocSecurity>0</DocSecurity>
  <Lines>410</Lines>
  <Paragraphs>115</Paragraphs>
  <ScaleCrop>false</ScaleCrop>
  <Company/>
  <LinksUpToDate>false</LinksUpToDate>
  <CharactersWithSpaces>57769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user-7</cp:lastModifiedBy>
  <cp:revision>2</cp:revision>
  <dcterms:created xsi:type="dcterms:W3CDTF">2024-10-07T09:47:00Z</dcterms:created>
  <dcterms:modified xsi:type="dcterms:W3CDTF">2024-10-07T09:51:00Z</dcterms:modified>
</cp:coreProperties>
</file>